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72" w:rsidRPr="00545972" w:rsidRDefault="00272B54" w:rsidP="00545972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III</w:t>
      </w:r>
    </w:p>
    <w:p w:rsidR="00545972" w:rsidRPr="00545972" w:rsidRDefault="00545972" w:rsidP="00545972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tabs>
          <w:tab w:val="left" w:pos="851"/>
        </w:tabs>
        <w:suppressAutoHyphens/>
        <w:autoSpaceDE w:val="0"/>
        <w:spacing w:after="0" w:line="300" w:lineRule="atLeast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545972" w:rsidRPr="00545972" w:rsidRDefault="00545972" w:rsidP="00545972">
      <w:pPr>
        <w:suppressAutoHyphens/>
        <w:spacing w:after="0" w:line="300" w:lineRule="atLeast"/>
        <w:ind w:right="-15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Termo de Conciliação Judicial O MINISTÉRIO PÚBLICO DO TRABALHO, neste ato representado pelo Procurador-Geral do Trabalho, Dr. Guilherme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Mastrichi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ato representada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pelo Procurador-Geral da União, Dr. Moacir Antonio da Silva Machado, pela Sub Procuradora Regional da União - 1ª Região, Dra.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Helia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Bettero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merchandage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En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331).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os trabalhadores aliciados por cooperativas de mão-de-obra, que prestam serviços de natureza subordinada à UNIÃO embora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laborem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em situação fática idêntica a dos empregados das empresas prestadoras de serviços terceirizáveis, encontram-se à margem de qualquer proteção jurídico-laboral, sendo-lhes sonegada a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arts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5º, caput e 1º, III e IV da Constituição Federal).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o teor da Recomendação Para a Promoção das Cooperativas aprovada na 90ª sessão, da OIT – Organização Internacional do Trabalho, em junho de 2002, dispondo que os Estados devem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implementar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políticas nos sentido de.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“8.1.b Garantir que as cooperativas não sejam criadas para, ou direcionadas a, o não cumprimento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das lei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do trabalho ou usadas para estabelecer relações de emprego disfarçados, e combater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pseudocooperativas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empresas.”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RESOLVEM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a) – Serviços de limpeza;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b) – Serviços de conservação;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c) – Serviços de segurança, de vigilância e de portaria;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d) – Serviços de recepção;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e) – Serviços de </w:t>
      </w:r>
      <w:proofErr w:type="spellStart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copeiragem</w:t>
      </w:r>
      <w:proofErr w:type="spellEnd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f) – Serviços de reprografia;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g) – Serviços de telefonia;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h) – Serviços de manutenção de prédios, de equipamentos, de veículos e de instalações;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i) – Serviços de secretariado e secretariado executivo;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j) – Serviços de auxiliar de escritório;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lastRenderedPageBreak/>
        <w:t>k) – Serviços de auxiliar administrativo;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l) – Serviços de </w:t>
      </w:r>
      <w:proofErr w:type="gramStart"/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>office</w:t>
      </w:r>
      <w:proofErr w:type="gramEnd"/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 xml:space="preserve"> boy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(contínuo);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m) – Serviços de digitação;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n) – Serviços de assessoria de imprensa e de relações públicas;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o) – Serviços de motorista, no caso de os veículos serem fornecidos pelo próprio órgão licitante;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p) – Serviços de ascensorista;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q) – Serviços de enfermagem; e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r) – Serviços de agentes comunitários de saúde.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– O disposto nesta Cláusula não autoriza outras formas de terceirização sem previsão legal.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Segundo – As partes podem, a qualquer momento, mediante comunicação e acordos prévios, ampliar o rol de serviços elencados no </w:t>
      </w:r>
      <w:r w:rsidRPr="0054597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caput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Terceiro - Para a prestação de serviços em sua forma subordinada, a licitante vencedora do certame deverá comprovar a condição de empregadora dos prestadores de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serviços para as quais se objetiva a contratação, constituindo-se esse requisito, condição obrigatória à assinatura do respectivo contrato.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DAS SANÇÕES PELO DESCUMPRIMENTO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Quarta – A UNIÃO obriga-se ao pagamento de multa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astreinte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) correspondente a R$ 1.000,00 (um mil reais) por trabalhador que esteja em desacordo com as condições estabelecidas no presente Termo de Conciliação, sendo a mesma reversível ao Fundo de Amparo ao Trabalhador (FAT).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Primeiro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EXTENSÃO DO AJUSTE À ADMINISTRAÇÃO PÚBLICA INDIRETA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HOMOLOGAÇÃO JUDICIAL DO AJUSTE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Sexta – - As partes submetem os termos da presente conciliação à homologação do Juízo da MM. Vigésima Vara do Trabalho, para que o ajuste gere os seus efeitos jurídicos.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Sétima - Os termos da presente avença gerarão seus efeitos jurídicos a partir da data de sua homologação judicial.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único – Os contratos em vigor entre a UNIÃO e as Cooperativas, que contrariem o presente acordo, não serão renovados ou prorrogados.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Cláusula Oitava - A presente conciliação extingue o processo com exame do mérito apenas em relação à UNIÃO, prosseguindo o feito quanto aos demais réus. Dito isto, por estarem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as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partes ajustadas e compromissadas, firmam a presente conciliação em cinco vias, a qual terá eficácia de título judicial, nos termos dos artigos 831, parágrafo único, e 876, </w:t>
      </w:r>
      <w:r w:rsidRPr="00545972">
        <w:rPr>
          <w:rFonts w:ascii="Times New Roman" w:eastAsia="Arial" w:hAnsi="Times New Roman" w:cs="Times New Roman"/>
          <w:i/>
          <w:kern w:val="1"/>
          <w:sz w:val="24"/>
          <w:szCs w:val="24"/>
          <w:lang w:eastAsia="zh-CN"/>
        </w:rPr>
        <w:t>caput</w:t>
      </w: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, da CLT.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Brasília, 05 de junho de 2003.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br/>
        <w:t>GUILHERME MASTRICHI BASSO GUIOMAR RECHIA GOMES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do Trabalho Vice-Procuradora-Geral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BRASILINO SANTOS RAMOS FÁBIO LEAL CARDOSO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Procurador-Chefe/PRT 10ª Região Procurador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MOACIR ANTONIO DA SILVA MACHADO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HELIA MARIA DE OLIVEIRA BETTERO MÁRIOLUIZ GUERREIRO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Sub-Procuradora-Regional da União–1ª Região Advogado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Testemunhas: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GRIJALBO FERNANDES COUTINHO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Nacional dos Magistrados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da Justiça do Trabalho – ANAMATRA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PAULO SÉRGIO DOMINGUES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dos Juízes Federais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Brasil - AJUFE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REGINA BUTRUS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Presidente da Associação Nacional dos Procuradores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Trabalho – ANPT</w:t>
      </w:r>
    </w:p>
    <w:p w:rsidR="00DF3562" w:rsidRPr="00545972" w:rsidRDefault="00DF3562">
      <w:pPr>
        <w:rPr>
          <w:rFonts w:ascii="Times New Roman" w:hAnsi="Times New Roman" w:cs="Times New Roman"/>
        </w:rPr>
      </w:pPr>
    </w:p>
    <w:sectPr w:rsidR="00DF3562" w:rsidRPr="0054597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72" w:rsidRDefault="00545972" w:rsidP="00545972">
      <w:pPr>
        <w:spacing w:after="0" w:line="240" w:lineRule="auto"/>
      </w:pPr>
      <w:r>
        <w:separator/>
      </w:r>
    </w:p>
  </w:endnote>
  <w:end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72" w:rsidRDefault="00545972" w:rsidP="00545972">
      <w:pPr>
        <w:spacing w:after="0" w:line="240" w:lineRule="auto"/>
      </w:pPr>
      <w:r>
        <w:separator/>
      </w:r>
    </w:p>
  </w:footnote>
  <w:foot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550118" w:rsidP="00550118">
    <w:pPr>
      <w:pStyle w:val="Cabealho"/>
      <w:jc w:val="center"/>
      <w:rPr>
        <w:rFonts w:ascii="Arial" w:hAnsi="Arial" w:cs="Arial"/>
        <w:color w:val="00FF00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2F14372C" wp14:editId="359557EB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0118" w:rsidRDefault="00550118" w:rsidP="0055011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50118" w:rsidRDefault="00550118" w:rsidP="0055011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50118" w:rsidRDefault="00550118" w:rsidP="0055011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50118" w:rsidRPr="00550118" w:rsidRDefault="00550118" w:rsidP="00550118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550118" w:rsidRPr="00550118" w:rsidRDefault="009B0049" w:rsidP="00550118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>
      <w:rPr>
        <w:rFonts w:asciiTheme="minorHAnsi" w:hAnsiTheme="minorHAnsi" w:cs="Arial"/>
        <w:bCs/>
        <w:color w:val="000000" w:themeColor="text1"/>
      </w:rPr>
      <w:t>MJ - POLÍ</w:t>
    </w:r>
    <w:r w:rsidR="00550118" w:rsidRPr="00550118">
      <w:rPr>
        <w:rFonts w:asciiTheme="minorHAnsi" w:hAnsiTheme="minorHAnsi" w:cs="Arial"/>
        <w:bCs/>
        <w:color w:val="000000" w:themeColor="text1"/>
      </w:rPr>
      <w:t>CIA FEDERAL</w:t>
    </w:r>
  </w:p>
  <w:p w:rsidR="00550118" w:rsidRPr="00550118" w:rsidRDefault="00550118" w:rsidP="0055011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550118" w:rsidRPr="00550118" w:rsidRDefault="00550118" w:rsidP="0055011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545972" w:rsidRPr="00550118" w:rsidRDefault="00545972" w:rsidP="00550118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eastAsia="SimSun" w:cs="Times New Roman"/>
        <w:b/>
        <w:bCs/>
        <w:kern w:val="3"/>
        <w:sz w:val="24"/>
        <w:szCs w:val="24"/>
        <w:lang w:eastAsia="zh-CN" w:bidi="hi-IN"/>
      </w:rPr>
    </w:pPr>
    <w:r w:rsidRPr="00550118">
      <w:rPr>
        <w:rFonts w:eastAsia="SimSun" w:cs="Times New Roman"/>
        <w:b/>
        <w:bCs/>
        <w:kern w:val="3"/>
        <w:sz w:val="24"/>
        <w:szCs w:val="24"/>
        <w:lang w:eastAsia="zh-CN" w:bidi="hi-IN"/>
      </w:rPr>
      <w:t>COMISSÃO PERMANENTE DE LICITAÇÃO</w:t>
    </w:r>
  </w:p>
  <w:p w:rsidR="00545972" w:rsidRDefault="005459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72"/>
    <w:rsid w:val="00272B54"/>
    <w:rsid w:val="00545972"/>
    <w:rsid w:val="00550118"/>
    <w:rsid w:val="008A039B"/>
    <w:rsid w:val="009B0049"/>
    <w:rsid w:val="00DA586B"/>
    <w:rsid w:val="00DF3562"/>
    <w:rsid w:val="00E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nhideWhenUsed/>
    <w:qFormat/>
    <w:rsid w:val="005501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5011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5011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5011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nhideWhenUsed/>
    <w:qFormat/>
    <w:rsid w:val="005501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5011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5011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5011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BA35-6B48-445E-80AB-D6C54A10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1650</Words>
  <Characters>8914</Characters>
  <Application>Microsoft Office Word</Application>
  <DocSecurity>0</DocSecurity>
  <Lines>74</Lines>
  <Paragraphs>21</Paragraphs>
  <ScaleCrop>false</ScaleCrop>
  <Company>Hewlett-Packard Company</Company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6</cp:revision>
  <dcterms:created xsi:type="dcterms:W3CDTF">2013-09-10T19:00:00Z</dcterms:created>
  <dcterms:modified xsi:type="dcterms:W3CDTF">2017-02-09T13:35:00Z</dcterms:modified>
</cp:coreProperties>
</file>